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0988B"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B7156C" w:rsidRPr="00E63C2B">
        <w:rPr>
          <w:rFonts w:ascii="Times New Roman" w:hAnsi="Times New Roman"/>
          <w:sz w:val="22"/>
          <w:szCs w:val="22"/>
        </w:rPr>
        <w:t>]</w:t>
      </w:r>
    </w:p>
    <w:p w14:paraId="4CBB6617"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1B3D9021" w14:textId="4014A0D5" w:rsidR="00450607" w:rsidRPr="001F25E5" w:rsidRDefault="00450607" w:rsidP="00450607">
      <w:pPr>
        <w:ind w:left="2835" w:hanging="567"/>
        <w:rPr>
          <w:sz w:val="22"/>
          <w:szCs w:val="22"/>
        </w:rPr>
      </w:pPr>
      <w:r>
        <w:rPr>
          <w:sz w:val="22"/>
          <w:szCs w:val="22"/>
        </w:rPr>
        <w:t>[</w:t>
      </w:r>
      <w:r w:rsidRPr="00116F19">
        <w:rPr>
          <w:sz w:val="22"/>
          <w:szCs w:val="22"/>
          <w:highlight w:val="lightGray"/>
        </w:rPr>
        <w:t xml:space="preserve">Appointment of </w:t>
      </w:r>
      <w:r w:rsidRPr="00B51E12">
        <w:rPr>
          <w:sz w:val="22"/>
          <w:szCs w:val="22"/>
          <w:highlight w:val="lightGray"/>
        </w:rPr>
        <w:t xml:space="preserve">Opening and Evaluation Committees </w:t>
      </w:r>
      <w:r w:rsidRPr="00116F19">
        <w:rPr>
          <w:sz w:val="22"/>
          <w:szCs w:val="22"/>
          <w:highlight w:val="lightGray"/>
        </w:rPr>
        <w:t>with the declarations of impartiality and confidentiality</w:t>
      </w:r>
      <w:r>
        <w:rPr>
          <w:sz w:val="22"/>
          <w:szCs w:val="22"/>
        </w:rPr>
        <w:t>]</w:t>
      </w:r>
    </w:p>
    <w:p w14:paraId="51893CA2" w14:textId="6D4BD75B" w:rsidR="00D11BE9" w:rsidRDefault="00D11BE9" w:rsidP="00450607">
      <w:pPr>
        <w:spacing w:before="120" w:after="120"/>
        <w:ind w:left="2268"/>
        <w:jc w:val="both"/>
        <w:rPr>
          <w:sz w:val="22"/>
          <w:szCs w:val="22"/>
        </w:rPr>
      </w:pPr>
      <w:r>
        <w:rPr>
          <w:sz w:val="22"/>
          <w:szCs w:val="22"/>
        </w:rPr>
        <w:t>[</w:t>
      </w:r>
      <w:r w:rsidR="00A94DA4" w:rsidRPr="00023D8F">
        <w:rPr>
          <w:sz w:val="22"/>
          <w:szCs w:val="22"/>
          <w:highlight w:val="yellow"/>
        </w:rPr>
        <w:t>Electronic submission</w:t>
      </w:r>
      <w:r w:rsidR="00A94DA4" w:rsidRPr="00AB5AD0">
        <w:rPr>
          <w:sz w:val="22"/>
          <w:szCs w:val="22"/>
          <w:highlight w:val="yellow"/>
        </w:rPr>
        <w:t>:</w:t>
      </w:r>
      <w:r w:rsidR="00A94DA4">
        <w:rPr>
          <w:sz w:val="22"/>
          <w:szCs w:val="22"/>
        </w:rPr>
        <w:t xml:space="preserve"> </w:t>
      </w:r>
      <w:r w:rsidRPr="00B51E12">
        <w:rPr>
          <w:sz w:val="22"/>
          <w:szCs w:val="22"/>
          <w:highlight w:val="lightGray"/>
        </w:rPr>
        <w:t xml:space="preserve">Record of opening of submissions generated </w:t>
      </w:r>
      <w:r w:rsidR="00F54392" w:rsidRPr="00450607">
        <w:rPr>
          <w:sz w:val="22"/>
          <w:szCs w:val="22"/>
          <w:highlight w:val="lightGray"/>
        </w:rPr>
        <w:t xml:space="preserve">by the </w:t>
      </w:r>
      <w:proofErr w:type="spellStart"/>
      <w:r w:rsidR="00F54392" w:rsidRPr="00450607">
        <w:rPr>
          <w:sz w:val="22"/>
          <w:szCs w:val="22"/>
          <w:highlight w:val="lightGray"/>
        </w:rPr>
        <w:t>eplatform</w:t>
      </w:r>
      <w:proofErr w:type="spellEnd"/>
      <w:r>
        <w:rPr>
          <w:sz w:val="22"/>
          <w:szCs w:val="22"/>
        </w:rPr>
        <w:t>]</w:t>
      </w:r>
    </w:p>
    <w:p w14:paraId="42E55D39" w14:textId="4ACD32C6" w:rsidR="002C0C50" w:rsidRPr="00E63C2B" w:rsidRDefault="00D11BE9" w:rsidP="00F54392">
      <w:pPr>
        <w:spacing w:after="120"/>
        <w:ind w:left="2268"/>
        <w:rPr>
          <w:sz w:val="22"/>
          <w:szCs w:val="22"/>
        </w:rPr>
      </w:pPr>
      <w:r>
        <w:rPr>
          <w:sz w:val="22"/>
          <w:szCs w:val="22"/>
        </w:rPr>
        <w:t>[</w:t>
      </w:r>
      <w:r w:rsidR="00A94DA4" w:rsidRPr="00B51E12">
        <w:rPr>
          <w:sz w:val="22"/>
          <w:szCs w:val="22"/>
          <w:highlight w:val="yellow"/>
        </w:rPr>
        <w:t>Paper submission</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 xml:space="preserve">of average scores, technical and financial </w:t>
      </w:r>
      <w:proofErr w:type="gramStart"/>
      <w:r w:rsidR="00506360" w:rsidRPr="00E63C2B">
        <w:rPr>
          <w:sz w:val="22"/>
          <w:szCs w:val="22"/>
        </w:rPr>
        <w:t>score</w:t>
      </w:r>
      <w:proofErr w:type="gramEnd"/>
      <w:r w:rsidR="00506360" w:rsidRPr="00E63C2B">
        <w:rPr>
          <w:sz w:val="22"/>
          <w:szCs w:val="22"/>
        </w:rPr>
        <w:t xml:space="preserv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1C1F69AD"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w:t>
      </w:r>
      <w:r w:rsidR="000173F0" w:rsidRPr="007A16DC">
        <w:rPr>
          <w:sz w:val="22"/>
          <w:szCs w:val="22"/>
          <w:highlight w:val="lightGray"/>
        </w:rPr>
        <w:t xml:space="preserve">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42B58ED9"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w:t>
      </w:r>
      <w:r w:rsidR="000173F0" w:rsidRPr="007A16DC">
        <w:rPr>
          <w:sz w:val="22"/>
          <w:szCs w:val="22"/>
          <w:highlight w:val="lightGray"/>
        </w:rPr>
        <w:t xml:space="preserve">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49F160BC"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1DEB28D1"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0C272601"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77777777" w:rsidR="00B7156C" w:rsidRPr="00E63C2B" w:rsidRDefault="00B7156C" w:rsidP="000C369C">
      <w:pPr>
        <w:spacing w:before="120" w:after="120"/>
        <w:ind w:left="426" w:right="424"/>
        <w:jc w:val="both"/>
        <w:rPr>
          <w:sz w:val="22"/>
          <w:szCs w:val="22"/>
        </w:rPr>
      </w:pPr>
      <w:r w:rsidRPr="00116F19">
        <w:rPr>
          <w:sz w:val="22"/>
          <w:szCs w:val="22"/>
          <w:highlight w:val="lightGray"/>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6CA526B5"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1C52EB0B"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340FC237" w14:textId="77777777" w:rsidR="00B7156C" w:rsidRPr="00E63C2B" w:rsidRDefault="00B7156C" w:rsidP="000C369C">
      <w:pPr>
        <w:spacing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16CADE86"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w:t>
            </w:r>
            <w:r w:rsidR="00800B82">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0C5B51">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7A16DC" w:rsidRDefault="00C308E2">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206298C2" w14:textId="77777777" w:rsidR="00C308E2" w:rsidRPr="007A16DC" w:rsidRDefault="00C308E2">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018B1B1B" w14:textId="77777777" w:rsidR="00C308E2" w:rsidRPr="007A16DC" w:rsidRDefault="004870E2" w:rsidP="006D7A35">
      <w:pPr>
        <w:spacing w:before="120"/>
        <w:ind w:left="426" w:right="424"/>
        <w:jc w:val="both"/>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t>T</w:t>
      </w:r>
      <w:r w:rsidR="00A24C9B" w:rsidRPr="005F2188">
        <w:rPr>
          <w:color w:val="000000"/>
          <w:sz w:val="22"/>
          <w:szCs w:val="22"/>
          <w:highlight w:val="yellow"/>
          <w:u w:val="single"/>
          <w:lang w:val="en-IE"/>
        </w:rPr>
        <w:t>he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p>
    <w:p w14:paraId="4D6A01F4" w14:textId="77777777" w:rsidR="007F1258" w:rsidRDefault="007F1258" w:rsidP="00D7534C">
      <w:pPr>
        <w:spacing w:beforeLines="120" w:before="288" w:afterLines="60" w:after="144"/>
        <w:ind w:left="425"/>
        <w:contextualSpacing/>
        <w:jc w:val="both"/>
        <w:rPr>
          <w:color w:val="000000"/>
          <w:sz w:val="22"/>
          <w:szCs w:val="22"/>
          <w:highlight w:val="yellow"/>
          <w:u w:val="single"/>
          <w:lang w:val="en-IE"/>
        </w:rPr>
      </w:pPr>
    </w:p>
    <w:p w14:paraId="3A962B6D" w14:textId="792ABF1D" w:rsidR="007F1258" w:rsidRDefault="007F1258" w:rsidP="00D7534C">
      <w:pPr>
        <w:spacing w:beforeLines="120" w:before="288" w:afterLines="60" w:after="144"/>
        <w:ind w:left="425"/>
        <w:contextualSpacing/>
        <w:jc w:val="both"/>
        <w:rPr>
          <w:color w:val="000000"/>
          <w:sz w:val="22"/>
          <w:szCs w:val="22"/>
          <w:highlight w:val="yellow"/>
          <w:u w:val="single"/>
          <w:lang w:val="en-IE"/>
        </w:rPr>
      </w:pPr>
      <w:r w:rsidRPr="00B51E12">
        <w:rPr>
          <w:sz w:val="22"/>
          <w:szCs w:val="22"/>
          <w:highlight w:val="yellow"/>
        </w:rPr>
        <w:t>[</w:t>
      </w:r>
      <w:r w:rsidRPr="00A94DA4">
        <w:rPr>
          <w:sz w:val="22"/>
          <w:szCs w:val="22"/>
          <w:highlight w:val="yellow"/>
        </w:rPr>
        <w:t>P</w:t>
      </w:r>
      <w:r w:rsidRPr="00023D8F">
        <w:rPr>
          <w:sz w:val="22"/>
          <w:szCs w:val="22"/>
          <w:highlight w:val="yellow"/>
        </w:rPr>
        <w:t>aper submission :</w:t>
      </w:r>
    </w:p>
    <w:p w14:paraId="79D85F4D" w14:textId="77F2B451" w:rsidR="009C2810" w:rsidRPr="00354424" w:rsidRDefault="00814B9B" w:rsidP="00D7534C">
      <w:pPr>
        <w:spacing w:beforeLines="120" w:before="288" w:afterLines="60" w:after="144"/>
        <w:ind w:left="425"/>
        <w:contextualSpacing/>
        <w:jc w:val="both"/>
        <w:rPr>
          <w:color w:val="000000"/>
          <w:sz w:val="22"/>
          <w:szCs w:val="22"/>
          <w:highlight w:val="lightGray"/>
          <w:lang w:val="en-IE"/>
        </w:rPr>
      </w:pPr>
      <w:r w:rsidRPr="00354424">
        <w:rPr>
          <w:color w:val="000000"/>
          <w:sz w:val="22"/>
          <w:szCs w:val="22"/>
          <w:highlight w:val="lightGray"/>
          <w:lang w:val="en-IE"/>
        </w:rPr>
        <w:lastRenderedPageBreak/>
        <w:t xml:space="preserve">Please submit the original </w:t>
      </w:r>
      <w:r w:rsidR="00BE765A">
        <w:rPr>
          <w:color w:val="000000"/>
          <w:sz w:val="22"/>
          <w:szCs w:val="22"/>
          <w:highlight w:val="lightGray"/>
          <w:lang w:val="en-IE"/>
        </w:rPr>
        <w:t xml:space="preserve">signed </w:t>
      </w:r>
      <w:r w:rsidR="009C2810" w:rsidRPr="00D645AA">
        <w:rPr>
          <w:color w:val="000000"/>
          <w:sz w:val="22"/>
          <w:szCs w:val="22"/>
          <w:highlight w:val="lightGray"/>
          <w:lang w:val="en-IE"/>
        </w:rPr>
        <w:t>Declaration</w:t>
      </w:r>
      <w:r w:rsidR="009C2810" w:rsidRPr="00E90AB7">
        <w:rPr>
          <w:color w:val="000000"/>
          <w:sz w:val="22"/>
          <w:szCs w:val="22"/>
          <w:highlight w:val="lightGray"/>
          <w:lang w:val="en-IE"/>
        </w:rPr>
        <w:t xml:space="preserve">(s) </w:t>
      </w:r>
      <w:r w:rsidR="009C2810" w:rsidRPr="00354424">
        <w:rPr>
          <w:color w:val="000000"/>
          <w:sz w:val="22"/>
          <w:szCs w:val="22"/>
          <w:highlight w:val="lightGray"/>
          <w:lang w:val="en-IE"/>
        </w:rPr>
        <w:t xml:space="preserve">on honour </w:t>
      </w:r>
      <w:r w:rsidRPr="00354424">
        <w:rPr>
          <w:color w:val="000000"/>
          <w:sz w:val="22"/>
          <w:szCs w:val="22"/>
          <w:highlight w:val="lightGray"/>
          <w:lang w:val="en-IE"/>
        </w:rPr>
        <w:t>of which a copy has</w:t>
      </w:r>
      <w:r w:rsidR="009C2810" w:rsidRPr="00354424">
        <w:rPr>
          <w:color w:val="000000"/>
          <w:sz w:val="22"/>
          <w:szCs w:val="22"/>
          <w:highlight w:val="lightGray"/>
          <w:lang w:val="en-IE"/>
        </w:rPr>
        <w:t xml:space="preserve"> </w:t>
      </w:r>
      <w:r w:rsidR="006D61C9" w:rsidRPr="00354424">
        <w:rPr>
          <w:color w:val="000000"/>
          <w:sz w:val="22"/>
          <w:szCs w:val="22"/>
          <w:highlight w:val="lightGray"/>
          <w:lang w:val="en-IE"/>
        </w:rPr>
        <w:t xml:space="preserve">been submitted </w:t>
      </w:r>
      <w:r w:rsidR="008707D4" w:rsidRPr="00354424">
        <w:rPr>
          <w:color w:val="000000"/>
          <w:sz w:val="22"/>
          <w:szCs w:val="22"/>
          <w:highlight w:val="lightGray"/>
          <w:lang w:val="en-IE"/>
        </w:rPr>
        <w:t xml:space="preserve">by you </w:t>
      </w:r>
      <w:r w:rsidR="006D61C9" w:rsidRPr="00354424">
        <w:rPr>
          <w:color w:val="000000"/>
          <w:sz w:val="22"/>
          <w:szCs w:val="22"/>
          <w:highlight w:val="lightGray"/>
          <w:lang w:val="en-IE"/>
        </w:rPr>
        <w:t>with the request to participat</w:t>
      </w:r>
      <w:r w:rsidR="008E69E6" w:rsidRPr="00354424">
        <w:rPr>
          <w:color w:val="000000"/>
          <w:sz w:val="22"/>
          <w:szCs w:val="22"/>
          <w:highlight w:val="lightGray"/>
          <w:lang w:val="en-IE"/>
        </w:rPr>
        <w:t>e</w:t>
      </w:r>
      <w:r w:rsidR="006D61C9" w:rsidRPr="00354424">
        <w:rPr>
          <w:color w:val="000000"/>
          <w:sz w:val="22"/>
          <w:szCs w:val="22"/>
          <w:highlight w:val="lightGray"/>
          <w:lang w:val="en-IE"/>
        </w:rPr>
        <w:t xml:space="preserve"> form</w:t>
      </w:r>
      <w:r w:rsidR="00D84AB3" w:rsidRPr="00354424">
        <w:rPr>
          <w:color w:val="000000"/>
          <w:sz w:val="22"/>
          <w:szCs w:val="22"/>
          <w:highlight w:val="lightGray"/>
          <w:lang w:val="en-IE"/>
        </w:rPr>
        <w:t>/the tender submission form</w:t>
      </w:r>
      <w:r w:rsidR="008E69E6" w:rsidRPr="00354424">
        <w:rPr>
          <w:color w:val="000000"/>
          <w:sz w:val="22"/>
          <w:szCs w:val="22"/>
          <w:highlight w:val="lightGray"/>
          <w:lang w:val="en-IE"/>
        </w:rPr>
        <w:t xml:space="preserve">. </w:t>
      </w:r>
      <w:r w:rsidR="008707D4" w:rsidRPr="00354424">
        <w:rPr>
          <w:color w:val="000000"/>
          <w:sz w:val="22"/>
          <w:szCs w:val="22"/>
          <w:highlight w:val="lightGray"/>
          <w:lang w:val="en-IE"/>
        </w:rPr>
        <w:t>The o</w:t>
      </w:r>
      <w:r w:rsidR="009C2810" w:rsidRPr="00354424">
        <w:rPr>
          <w:color w:val="000000"/>
          <w:sz w:val="22"/>
          <w:szCs w:val="22"/>
          <w:highlight w:val="lightGray"/>
          <w:lang w:val="en-IE"/>
        </w:rPr>
        <w:t xml:space="preserve">riginal </w:t>
      </w:r>
      <w:r w:rsidR="006D61C9" w:rsidRPr="00354424">
        <w:rPr>
          <w:color w:val="000000"/>
          <w:sz w:val="22"/>
          <w:szCs w:val="22"/>
          <w:highlight w:val="lightGray"/>
          <w:lang w:val="en-IE"/>
        </w:rPr>
        <w:t>signed Declaration</w:t>
      </w:r>
      <w:r w:rsidR="00A033F0" w:rsidRPr="00E90AB7">
        <w:rPr>
          <w:color w:val="000000"/>
          <w:sz w:val="22"/>
          <w:szCs w:val="22"/>
          <w:highlight w:val="lightGray"/>
          <w:lang w:val="en-IE"/>
        </w:rPr>
        <w:t>(s)</w:t>
      </w:r>
      <w:r w:rsidR="006D61C9" w:rsidRPr="00E90AB7">
        <w:rPr>
          <w:color w:val="000000"/>
          <w:sz w:val="22"/>
          <w:szCs w:val="22"/>
          <w:highlight w:val="lightGray"/>
          <w:lang w:val="en-IE"/>
        </w:rPr>
        <w:t xml:space="preserve"> </w:t>
      </w:r>
      <w:r w:rsidR="006D61C9" w:rsidRPr="00354424">
        <w:rPr>
          <w:color w:val="000000"/>
          <w:sz w:val="22"/>
          <w:szCs w:val="22"/>
          <w:highlight w:val="lightGray"/>
          <w:lang w:val="en-IE"/>
        </w:rPr>
        <w:t xml:space="preserve">on </w:t>
      </w:r>
      <w:r w:rsidR="00882726" w:rsidRPr="00354424">
        <w:rPr>
          <w:color w:val="000000"/>
          <w:sz w:val="22"/>
          <w:szCs w:val="22"/>
          <w:highlight w:val="lightGray"/>
          <w:lang w:val="en-IE"/>
        </w:rPr>
        <w:t>h</w:t>
      </w:r>
      <w:r w:rsidR="006D61C9" w:rsidRPr="00354424">
        <w:rPr>
          <w:color w:val="000000"/>
          <w:sz w:val="22"/>
          <w:szCs w:val="22"/>
          <w:highlight w:val="lightGray"/>
          <w:lang w:val="en-IE"/>
        </w:rPr>
        <w:t>onour</w:t>
      </w:r>
      <w:r w:rsidR="00DD6F26" w:rsidRPr="00354424">
        <w:rPr>
          <w:color w:val="000000"/>
          <w:sz w:val="22"/>
          <w:szCs w:val="22"/>
          <w:highlight w:val="lightGray"/>
          <w:lang w:val="en-IE"/>
        </w:rPr>
        <w:t xml:space="preserve"> </w:t>
      </w:r>
      <w:r w:rsidR="00D7534C" w:rsidRPr="00354424">
        <w:rPr>
          <w:color w:val="000000"/>
          <w:sz w:val="22"/>
          <w:szCs w:val="22"/>
          <w:highlight w:val="lightGray"/>
          <w:lang w:val="en-IE"/>
        </w:rPr>
        <w:t>must</w:t>
      </w:r>
      <w:r w:rsidR="00A033F0" w:rsidRPr="00354424">
        <w:rPr>
          <w:color w:val="000000"/>
          <w:sz w:val="22"/>
          <w:szCs w:val="22"/>
          <w:highlight w:val="lightGray"/>
          <w:lang w:val="en-IE"/>
        </w:rPr>
        <w:t xml:space="preserve"> be submitted for </w:t>
      </w:r>
      <w:r w:rsidR="00DD6F26" w:rsidRPr="00354424">
        <w:rPr>
          <w:color w:val="000000"/>
          <w:sz w:val="22"/>
          <w:szCs w:val="22"/>
          <w:highlight w:val="lightGray"/>
          <w:lang w:val="en-IE"/>
        </w:rPr>
        <w:t>every member of the consortium and any capacity providing entity</w:t>
      </w:r>
      <w:r w:rsidR="00C03930" w:rsidRPr="00E90AB7">
        <w:rPr>
          <w:color w:val="000000"/>
          <w:sz w:val="22"/>
          <w:szCs w:val="22"/>
          <w:highlight w:val="lightGray"/>
          <w:lang w:val="en-IE"/>
        </w:rPr>
        <w:t xml:space="preserve"> or subcontractor</w:t>
      </w:r>
      <w:r w:rsidR="00DD6F26" w:rsidRPr="00354424">
        <w:rPr>
          <w:color w:val="000000"/>
          <w:sz w:val="22"/>
          <w:szCs w:val="22"/>
          <w:highlight w:val="lightGray"/>
          <w:lang w:val="en-IE"/>
        </w:rPr>
        <w:t xml:space="preserve"> (if applicable)</w:t>
      </w:r>
      <w:r w:rsidR="006D61C9" w:rsidRPr="00354424">
        <w:rPr>
          <w:color w:val="000000"/>
          <w:sz w:val="22"/>
          <w:szCs w:val="22"/>
          <w:highlight w:val="lightGray"/>
          <w:lang w:val="en-IE"/>
        </w:rPr>
        <w:t>.</w:t>
      </w:r>
      <w:r w:rsidR="004B5014" w:rsidRPr="00354424">
        <w:rPr>
          <w:color w:val="000000"/>
          <w:sz w:val="22"/>
          <w:szCs w:val="22"/>
          <w:highlight w:val="lightGray"/>
          <w:lang w:val="en-IE"/>
        </w:rPr>
        <w:t xml:space="preserve"> </w:t>
      </w:r>
      <w:r w:rsidR="000772D7" w:rsidRPr="00354424">
        <w:rPr>
          <w:color w:val="000000"/>
          <w:sz w:val="22"/>
          <w:szCs w:val="22"/>
          <w:highlight w:val="lightGray"/>
          <w:lang w:val="en-IE"/>
        </w:rPr>
        <w:t>Please use a reliable courier service or registered mail to avoid any delays or loss of the documents.</w:t>
      </w:r>
      <w:r w:rsidR="004D0576" w:rsidRPr="00354424">
        <w:rPr>
          <w:color w:val="000000"/>
          <w:sz w:val="22"/>
          <w:szCs w:val="22"/>
          <w:highlight w:val="lightGray"/>
          <w:lang w:val="en-IE"/>
        </w:rPr>
        <w:t xml:space="preserve"> The envelope, clearly mentioning the reference </w:t>
      </w:r>
      <w:r w:rsidR="00713D98" w:rsidRPr="00354424">
        <w:rPr>
          <w:color w:val="000000"/>
          <w:sz w:val="22"/>
          <w:szCs w:val="22"/>
          <w:highlight w:val="lightGray"/>
          <w:lang w:val="en-IE"/>
        </w:rPr>
        <w:t>of</w:t>
      </w:r>
      <w:r w:rsidR="004D0576" w:rsidRPr="00354424">
        <w:rPr>
          <w:color w:val="000000"/>
          <w:sz w:val="22"/>
          <w:szCs w:val="22"/>
          <w:highlight w:val="lightGray"/>
          <w:lang w:val="en-IE"/>
        </w:rPr>
        <w:t xml:space="preserve"> the call for tenders and, if applicable, the eSubmission ID of the tender </w:t>
      </w:r>
      <w:r w:rsidR="00A033F0" w:rsidRPr="00354424">
        <w:rPr>
          <w:color w:val="000000"/>
          <w:sz w:val="22"/>
          <w:szCs w:val="22"/>
          <w:highlight w:val="lightGray"/>
          <w:lang w:val="en-IE"/>
        </w:rPr>
        <w:t xml:space="preserve">submitted, </w:t>
      </w:r>
      <w:r w:rsidR="004D0576" w:rsidRPr="00354424">
        <w:rPr>
          <w:color w:val="000000"/>
          <w:sz w:val="22"/>
          <w:szCs w:val="22"/>
          <w:highlight w:val="lightGray"/>
          <w:lang w:val="en-IE"/>
        </w:rPr>
        <w:t xml:space="preserve">must be marked as "CALL FOR TENDERS – NOT TO BE OPENED BY THE INTERNAL MAIL DEPARTMENT".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6BF69983" w14:textId="233BBF5C" w:rsidR="009D77CF" w:rsidRDefault="007F1258" w:rsidP="005F2188">
      <w:pPr>
        <w:spacing w:beforeLines="120" w:before="288" w:afterLines="60" w:after="144"/>
        <w:ind w:left="425"/>
        <w:contextualSpacing/>
        <w:jc w:val="both"/>
        <w:rPr>
          <w:sz w:val="22"/>
          <w:szCs w:val="22"/>
          <w:highlight w:val="yellow"/>
        </w:rPr>
      </w:pPr>
      <w:r>
        <w:rPr>
          <w:sz w:val="22"/>
          <w:szCs w:val="22"/>
        </w:rPr>
        <w:t>[</w:t>
      </w:r>
      <w:r w:rsidRPr="00B51E12">
        <w:rPr>
          <w:sz w:val="22"/>
          <w:szCs w:val="22"/>
          <w:highlight w:val="yellow"/>
        </w:rPr>
        <w:t xml:space="preserve">Electronic </w:t>
      </w:r>
      <w:r w:rsidR="00CD26A1" w:rsidRPr="00B51E12">
        <w:rPr>
          <w:sz w:val="22"/>
          <w:szCs w:val="22"/>
          <w:highlight w:val="yellow"/>
        </w:rPr>
        <w:t>submission</w:t>
      </w:r>
      <w:r w:rsidRPr="00AB5AD0">
        <w:rPr>
          <w:sz w:val="22"/>
          <w:szCs w:val="22"/>
          <w:highlight w:val="yellow"/>
        </w:rPr>
        <w:t>:</w:t>
      </w:r>
      <w:r>
        <w:rPr>
          <w:sz w:val="22"/>
          <w:szCs w:val="22"/>
          <w:highlight w:val="yellow"/>
        </w:rPr>
        <w:t xml:space="preserve"> </w:t>
      </w:r>
    </w:p>
    <w:p w14:paraId="6F84E7E9" w14:textId="266AD83E" w:rsidR="00534D74" w:rsidRDefault="007B74C5" w:rsidP="005F2188">
      <w:pPr>
        <w:spacing w:beforeLines="120" w:before="288" w:afterLines="60" w:after="144"/>
        <w:ind w:left="425"/>
        <w:contextualSpacing/>
        <w:jc w:val="both"/>
        <w:rPr>
          <w:sz w:val="22"/>
          <w:szCs w:val="22"/>
        </w:rPr>
      </w:pPr>
      <w:r w:rsidRPr="00354424">
        <w:rPr>
          <w:sz w:val="22"/>
          <w:szCs w:val="22"/>
          <w:highlight w:val="lightGray"/>
        </w:rPr>
        <w:t xml:space="preserve">Tenderers must keep the originals of the Declaration on Honour for control purposes and must provide them to the </w:t>
      </w:r>
      <w:r w:rsidRPr="00D645AA">
        <w:rPr>
          <w:sz w:val="22"/>
          <w:szCs w:val="22"/>
          <w:highlight w:val="lightGray"/>
        </w:rPr>
        <w:t>contracting authority upon request</w:t>
      </w:r>
      <w:r w:rsidR="00701ED4" w:rsidRPr="00E90AB7">
        <w:rPr>
          <w:sz w:val="22"/>
          <w:szCs w:val="22"/>
          <w:highlight w:val="lightGray"/>
        </w:rPr>
        <w:t>.</w:t>
      </w:r>
      <w:r w:rsidR="00701ED4" w:rsidRPr="00701ED4">
        <w:rPr>
          <w:color w:val="000000"/>
          <w:sz w:val="22"/>
          <w:szCs w:val="22"/>
          <w:lang w:val="en-IE"/>
        </w:rPr>
        <w:t>]</w:t>
      </w:r>
      <w:r w:rsidRPr="00E90AB7" w:rsidDel="007B74C5">
        <w:rPr>
          <w:sz w:val="22"/>
          <w:szCs w:val="22"/>
        </w:rPr>
        <w:t xml:space="preserve"> </w:t>
      </w:r>
    </w:p>
    <w:p w14:paraId="0D008D71" w14:textId="2F620AB4" w:rsidR="007F1258" w:rsidRPr="00E90AB7" w:rsidRDefault="007F1258" w:rsidP="005F2188">
      <w:pPr>
        <w:spacing w:beforeLines="120" w:before="288" w:afterLines="60" w:after="144"/>
        <w:ind w:left="425"/>
        <w:contextualSpacing/>
        <w:jc w:val="both"/>
        <w:rPr>
          <w:color w:val="000000"/>
          <w:sz w:val="22"/>
          <w:szCs w:val="22"/>
          <w:lang w:val="en-IE"/>
        </w:rPr>
      </w:pPr>
    </w:p>
    <w:p w14:paraId="73EB8383" w14:textId="23A535A2" w:rsidR="009C2810" w:rsidRPr="003B22F8" w:rsidRDefault="00D645AA" w:rsidP="00E90AB7">
      <w:pPr>
        <w:spacing w:before="120" w:after="120"/>
        <w:ind w:left="425"/>
        <w:jc w:val="both"/>
        <w:rPr>
          <w:color w:val="000000"/>
          <w:szCs w:val="24"/>
          <w:highlight w:val="yellow"/>
          <w:lang w:val="en-IE"/>
        </w:rPr>
      </w:pPr>
      <w:r w:rsidRPr="000010ED">
        <w:rPr>
          <w:sz w:val="22"/>
          <w:szCs w:val="22"/>
          <w:highlight w:val="yellow"/>
          <w:lang w:val="en-IE"/>
        </w:rPr>
        <w:t>[</w:t>
      </w:r>
      <w:r w:rsidRPr="00BC1E7C">
        <w:rPr>
          <w:b/>
          <w:sz w:val="22"/>
          <w:szCs w:val="22"/>
          <w:highlight w:val="yellow"/>
          <w:lang w:val="en-IE"/>
        </w:rPr>
        <w:t>Documentary evidence on</w:t>
      </w:r>
      <w:r w:rsidRPr="000010ED">
        <w:rPr>
          <w:sz w:val="22"/>
          <w:szCs w:val="22"/>
          <w:highlight w:val="yellow"/>
          <w:lang w:val="en-IE"/>
        </w:rPr>
        <w:t xml:space="preserve"> </w:t>
      </w:r>
      <w:r w:rsidRPr="000010ED">
        <w:rPr>
          <w:b/>
          <w:sz w:val="22"/>
          <w:szCs w:val="22"/>
          <w:highlight w:val="yellow"/>
          <w:lang w:val="en-IE"/>
        </w:rPr>
        <w:t>exclusion criteria</w:t>
      </w:r>
      <w:r>
        <w:rPr>
          <w:b/>
          <w:sz w:val="22"/>
          <w:szCs w:val="22"/>
          <w:highlight w:val="yellow"/>
          <w:lang w:val="en-IE"/>
        </w:rPr>
        <w:t xml:space="preserve"> </w:t>
      </w:r>
      <w:r w:rsidRPr="00BC1E7C">
        <w:rPr>
          <w:sz w:val="22"/>
          <w:szCs w:val="22"/>
          <w:highlight w:val="yellow"/>
          <w:lang w:val="en-IE"/>
        </w:rPr>
        <w:t xml:space="preserve">is </w:t>
      </w:r>
      <w:r w:rsidR="00BE765A">
        <w:rPr>
          <w:sz w:val="22"/>
          <w:szCs w:val="22"/>
          <w:highlight w:val="yellow"/>
          <w:lang w:val="en-IE"/>
        </w:rPr>
        <w:t>requir</w:t>
      </w:r>
      <w:r w:rsidRPr="00BC1E7C">
        <w:rPr>
          <w:sz w:val="22"/>
          <w:szCs w:val="22"/>
          <w:highlight w:val="yellow"/>
          <w:lang w:val="en-IE"/>
        </w:rPr>
        <w:t>ed</w:t>
      </w:r>
      <w:r>
        <w:rPr>
          <w:b/>
          <w:sz w:val="22"/>
          <w:szCs w:val="22"/>
          <w:highlight w:val="yellow"/>
          <w:lang w:val="en-IE"/>
        </w:rPr>
        <w:t xml:space="preserve"> </w:t>
      </w:r>
      <w:r>
        <w:rPr>
          <w:sz w:val="22"/>
          <w:szCs w:val="22"/>
          <w:highlight w:val="yellow"/>
          <w:lang w:val="en-IE"/>
        </w:rPr>
        <w:t>f</w:t>
      </w:r>
      <w:r w:rsidRPr="000010ED">
        <w:rPr>
          <w:sz w:val="22"/>
          <w:szCs w:val="22"/>
          <w:highlight w:val="yellow"/>
          <w:lang w:val="en-IE"/>
        </w:rPr>
        <w:t xml:space="preserve">or </w:t>
      </w:r>
      <w:r>
        <w:rPr>
          <w:sz w:val="22"/>
          <w:szCs w:val="22"/>
          <w:highlight w:val="yellow"/>
          <w:lang w:val="en-IE"/>
        </w:rPr>
        <w:t xml:space="preserve">all </w:t>
      </w:r>
      <w:r w:rsidR="00E85AE8">
        <w:rPr>
          <w:sz w:val="22"/>
          <w:szCs w:val="22"/>
          <w:highlight w:val="yellow"/>
          <w:lang w:val="en-IE"/>
        </w:rPr>
        <w:t>tender procedures with a value</w:t>
      </w:r>
      <w:r w:rsidRPr="000010ED">
        <w:rPr>
          <w:sz w:val="22"/>
          <w:szCs w:val="22"/>
          <w:highlight w:val="yellow"/>
          <w:lang w:val="en-IE"/>
        </w:rPr>
        <w:t xml:space="preserve"> </w:t>
      </w:r>
      <w:r>
        <w:rPr>
          <w:sz w:val="22"/>
          <w:szCs w:val="22"/>
          <w:highlight w:val="yellow"/>
          <w:lang w:val="en-IE"/>
        </w:rPr>
        <w:t xml:space="preserve">above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Pr>
          <w:sz w:val="22"/>
          <w:szCs w:val="22"/>
          <w:highlight w:val="yellow"/>
          <w:lang w:val="en-IE"/>
        </w:rPr>
        <w:t xml:space="preserve">. For </w:t>
      </w:r>
      <w:r w:rsidR="00E85AE8">
        <w:rPr>
          <w:sz w:val="22"/>
          <w:szCs w:val="22"/>
          <w:highlight w:val="yellow"/>
          <w:lang w:val="en-IE"/>
        </w:rPr>
        <w:t>tender procedures</w:t>
      </w:r>
      <w:r>
        <w:rPr>
          <w:sz w:val="22"/>
          <w:szCs w:val="22"/>
          <w:highlight w:val="yellow"/>
          <w:lang w:val="en-IE"/>
        </w:rPr>
        <w:t xml:space="preserve">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Pr>
          <w:sz w:val="22"/>
          <w:szCs w:val="22"/>
          <w:highlight w:val="yellow"/>
          <w:lang w:val="en-IE"/>
        </w:rPr>
        <w:t xml:space="preserve"> criteria</w:t>
      </w:r>
      <w:r w:rsidRPr="00E90AB7">
        <w:rPr>
          <w:sz w:val="22"/>
          <w:szCs w:val="22"/>
          <w:highlight w:val="yellow"/>
          <w:lang w:val="en-IE"/>
        </w:rPr>
        <w:t>.</w:t>
      </w:r>
      <w:r w:rsidRPr="000010ED">
        <w:rPr>
          <w:color w:val="000000"/>
          <w:sz w:val="22"/>
          <w:szCs w:val="22"/>
          <w:lang w:val="en-IE"/>
        </w:rPr>
        <w:t xml:space="preserve"> </w:t>
      </w:r>
    </w:p>
    <w:p w14:paraId="640B7E29" w14:textId="5D413C0F"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 xml:space="preserve">documentary evidence demonstrating that you do not fall into any of the exclusion situations listed in </w:t>
      </w:r>
      <w:r w:rsidR="002B064A">
        <w:rPr>
          <w:color w:val="000000"/>
          <w:sz w:val="22"/>
          <w:szCs w:val="22"/>
          <w:highlight w:val="lightGray"/>
          <w:lang w:val="en-IE"/>
        </w:rPr>
        <w:t>point 18 of Annex II of the Financing Agreement between the European Commission and the partner country</w:t>
      </w:r>
      <w:r w:rsidR="00350853" w:rsidRPr="00E90AB7">
        <w:rPr>
          <w:color w:val="000000"/>
          <w:sz w:val="22"/>
          <w:szCs w:val="22"/>
          <w:highlight w:val="lightGray"/>
          <w:lang w:val="en-IE"/>
        </w:rPr>
        <w:t xml:space="preserve">. The admissible proof or statement </w:t>
      </w:r>
      <w:r w:rsidR="000844ED" w:rsidRPr="00E90AB7">
        <w:rPr>
          <w:color w:val="000000"/>
          <w:sz w:val="22"/>
          <w:szCs w:val="22"/>
          <w:highlight w:val="lightGray"/>
          <w:lang w:val="en-IE"/>
        </w:rPr>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r w:rsidR="00F23FD6" w:rsidRPr="00E90AB7">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E90AB7">
        <w:rPr>
          <w:sz w:val="22"/>
          <w:szCs w:val="22"/>
          <w:highlight w:val="lightGray"/>
        </w:rPr>
        <w:t>] [</w:t>
      </w:r>
      <w:r w:rsidR="00F23FD6" w:rsidRPr="003D0D7C">
        <w:rPr>
          <w:sz w:val="22"/>
          <w:szCs w:val="22"/>
          <w:highlight w:val="yellow"/>
        </w:rPr>
        <w:t>Your firm</w:t>
      </w:r>
      <w:r w:rsidR="00F23FD6" w:rsidRPr="00E90AB7">
        <w:rPr>
          <w:sz w:val="22"/>
          <w:szCs w:val="22"/>
          <w:highlight w:val="lightGray"/>
        </w:rPr>
        <w:t>] [</w:t>
      </w:r>
      <w:r w:rsidR="00F23FD6" w:rsidRPr="003D0D7C">
        <w:rPr>
          <w:sz w:val="22"/>
          <w:szCs w:val="22"/>
          <w:highlight w:val="yellow"/>
        </w:rPr>
        <w:t>each consortium member</w:t>
      </w:r>
      <w:r w:rsidR="00F23FD6" w:rsidRPr="00E90AB7">
        <w:rPr>
          <w:sz w:val="22"/>
          <w:szCs w:val="22"/>
          <w:highlight w:val="lightGray"/>
        </w:rPr>
        <w:t>] must, in addition, provide a statement that the situation has not been altered in the period that has elapsed since the evidence in question was drawn u</w:t>
      </w:r>
      <w:r w:rsidR="000844ED" w:rsidRPr="00E90AB7">
        <w:rPr>
          <w:sz w:val="22"/>
          <w:szCs w:val="22"/>
          <w:highlight w:val="lightGray"/>
        </w:rPr>
        <w:t xml:space="preserve">p.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26763B74" w:rsidR="00D645AA" w:rsidRPr="00E90AB7" w:rsidRDefault="00D645AA" w:rsidP="00E90AB7">
      <w:pPr>
        <w:ind w:left="425"/>
        <w:jc w:val="both"/>
        <w:rPr>
          <w:sz w:val="22"/>
          <w:szCs w:val="22"/>
          <w:lang w:val="en-IE"/>
        </w:rPr>
      </w:pPr>
      <w:r w:rsidRPr="009520F5">
        <w:rPr>
          <w:sz w:val="22"/>
          <w:szCs w:val="22"/>
          <w:highlight w:val="yellow"/>
          <w:lang w:val="en-IE"/>
        </w:rPr>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w:t>
      </w:r>
      <w:r w:rsidRPr="00D645AA">
        <w:rPr>
          <w:color w:val="000000"/>
          <w:sz w:val="22"/>
          <w:szCs w:val="22"/>
          <w:highlight w:val="lightGray"/>
          <w:lang w:val="en-IE"/>
        </w:rPr>
        <w:t xml:space="preserve"> </w:t>
      </w:r>
    </w:p>
    <w:p w14:paraId="652AC879" w14:textId="4BD7D6D7"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 xml:space="preserve">by courier service or registered mail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 xml:space="preserve">vidence of the financial and economic capacity and the technical and professional capacity according to the selection criteria specified in </w:t>
      </w:r>
      <w:r w:rsidR="00A42866" w:rsidRPr="00E90AB7">
        <w:rPr>
          <w:sz w:val="22"/>
          <w:szCs w:val="22"/>
          <w:highlight w:val="lightGray"/>
          <w:lang w:val="en-IE" w:bidi="kn-IN"/>
        </w:rPr>
        <w:t>the contract notice</w:t>
      </w:r>
      <w:r w:rsidRPr="00E90AB7">
        <w:rPr>
          <w:sz w:val="22"/>
          <w:szCs w:val="22"/>
          <w:highlight w:val="lightGray"/>
          <w:lang w:val="en-IE" w:bidi="kn-IN"/>
        </w:rPr>
        <w:t xml:space="preserve">.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lastRenderedPageBreak/>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3135DB7C" w14:textId="20A3464C"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005F7290">
        <w:rPr>
          <w:sz w:val="22"/>
          <w:szCs w:val="22"/>
        </w:rPr>
        <w:t xml:space="preserve"> in </w:t>
      </w:r>
      <w:hyperlink r:id="rId11" w:history="1">
        <w:r w:rsidR="005F7290" w:rsidRPr="008F3272">
          <w:rPr>
            <w:rStyle w:val="Enlla"/>
            <w:sz w:val="22"/>
            <w:szCs w:val="22"/>
          </w:rPr>
          <w:t>www.sanctionsmap.eu</w:t>
        </w:r>
      </w:hyperlink>
      <w:r w:rsidR="005F7290">
        <w:rPr>
          <w:sz w:val="22"/>
          <w:szCs w:val="22"/>
        </w:rPr>
        <w:t xml:space="preserve"> </w:t>
      </w:r>
      <w:r w:rsidR="00355F99" w:rsidRPr="0028548A">
        <w:rPr>
          <w:sz w:val="22"/>
          <w:szCs w:val="22"/>
        </w:rPr>
        <w:t>.</w:t>
      </w:r>
    </w:p>
    <w:p w14:paraId="6E7CAA89" w14:textId="77777777" w:rsidR="008E486B" w:rsidRDefault="008E486B" w:rsidP="006D7A35">
      <w:pPr>
        <w:ind w:left="425"/>
        <w:jc w:val="both"/>
        <w:rPr>
          <w:sz w:val="22"/>
          <w:szCs w:val="22"/>
        </w:rPr>
      </w:pPr>
    </w:p>
    <w:p w14:paraId="7A31FB56" w14:textId="7E82F93F"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593"/>
        <w:gridCol w:w="392"/>
        <w:gridCol w:w="2727"/>
        <w:gridCol w:w="3827"/>
        <w:gridCol w:w="72"/>
      </w:tblGrid>
      <w:tr w:rsidR="00B7156C" w:rsidRPr="00E63C2B" w14:paraId="2B2ABE2A" w14:textId="77777777" w:rsidTr="005F7290">
        <w:trPr>
          <w:gridAfter w:val="1"/>
          <w:wAfter w:w="72" w:type="dxa"/>
          <w:cantSplit/>
          <w:jc w:val="center"/>
        </w:trPr>
        <w:tc>
          <w:tcPr>
            <w:tcW w:w="2268" w:type="dxa"/>
            <w:gridSpan w:val="2"/>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gridSpan w:val="2"/>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5F7290">
        <w:trPr>
          <w:gridAfter w:val="1"/>
          <w:wAfter w:w="72" w:type="dxa"/>
          <w:cantSplit/>
          <w:jc w:val="center"/>
        </w:trPr>
        <w:tc>
          <w:tcPr>
            <w:tcW w:w="2268" w:type="dxa"/>
            <w:gridSpan w:val="2"/>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gridSpan w:val="2"/>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5F7290">
        <w:trPr>
          <w:gridAfter w:val="1"/>
          <w:wAfter w:w="72" w:type="dxa"/>
          <w:cantSplit/>
          <w:jc w:val="center"/>
        </w:trPr>
        <w:tc>
          <w:tcPr>
            <w:tcW w:w="2268" w:type="dxa"/>
            <w:gridSpan w:val="2"/>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gridSpan w:val="2"/>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5F7290">
        <w:trPr>
          <w:gridAfter w:val="1"/>
          <w:wAfter w:w="72" w:type="dxa"/>
          <w:cantSplit/>
          <w:jc w:val="center"/>
        </w:trPr>
        <w:tc>
          <w:tcPr>
            <w:tcW w:w="2268" w:type="dxa"/>
            <w:gridSpan w:val="2"/>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gridSpan w:val="2"/>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5F7290">
        <w:trPr>
          <w:gridAfter w:val="1"/>
          <w:wAfter w:w="72" w:type="dxa"/>
          <w:cantSplit/>
          <w:jc w:val="center"/>
        </w:trPr>
        <w:tc>
          <w:tcPr>
            <w:tcW w:w="2268" w:type="dxa"/>
            <w:gridSpan w:val="2"/>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gridSpan w:val="2"/>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5F7290">
        <w:trPr>
          <w:gridAfter w:val="1"/>
          <w:wAfter w:w="72" w:type="dxa"/>
          <w:cantSplit/>
          <w:jc w:val="center"/>
        </w:trPr>
        <w:tc>
          <w:tcPr>
            <w:tcW w:w="2268" w:type="dxa"/>
            <w:gridSpan w:val="2"/>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gridSpan w:val="2"/>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r w:rsidR="00D81B66" w:rsidRPr="00E63C2B" w14:paraId="456A16B6" w14:textId="77777777" w:rsidTr="005F729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5" w:type="dxa"/>
          <w:cantSplit/>
          <w:trHeight w:val="574"/>
        </w:trPr>
        <w:tc>
          <w:tcPr>
            <w:tcW w:w="1985" w:type="dxa"/>
            <w:gridSpan w:val="2"/>
          </w:tcPr>
          <w:p w14:paraId="3BD0B13C" w14:textId="4C03D181" w:rsidR="00D81B66" w:rsidRPr="007A16DC" w:rsidRDefault="00D81B66" w:rsidP="005F7290">
            <w:pPr>
              <w:rPr>
                <w:sz w:val="22"/>
                <w:szCs w:val="22"/>
                <w:highlight w:val="lightGray"/>
              </w:rPr>
            </w:pPr>
          </w:p>
        </w:tc>
        <w:tc>
          <w:tcPr>
            <w:tcW w:w="6626" w:type="dxa"/>
            <w:gridSpan w:val="3"/>
          </w:tcPr>
          <w:p w14:paraId="502C0FE1" w14:textId="77777777" w:rsidR="00D81B66" w:rsidRPr="00E63C2B" w:rsidRDefault="00D81B66" w:rsidP="006D7A35">
            <w:pPr>
              <w:pStyle w:val="Textindependen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5F729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5" w:type="dxa"/>
          <w:cantSplit/>
          <w:trHeight w:val="568"/>
        </w:trPr>
        <w:tc>
          <w:tcPr>
            <w:tcW w:w="1985" w:type="dxa"/>
            <w:gridSpan w:val="2"/>
          </w:tcPr>
          <w:p w14:paraId="11F61425" w14:textId="49892CC9" w:rsidR="00D81B66" w:rsidRPr="007A16DC" w:rsidRDefault="00D81B66" w:rsidP="006D7A35">
            <w:pPr>
              <w:pStyle w:val="Textindependent"/>
              <w:keepNext/>
              <w:keepLines/>
              <w:spacing w:before="0" w:after="0"/>
              <w:ind w:left="425"/>
              <w:jc w:val="both"/>
              <w:rPr>
                <w:rFonts w:ascii="Times New Roman" w:hAnsi="Times New Roman"/>
                <w:sz w:val="22"/>
                <w:szCs w:val="22"/>
                <w:highlight w:val="lightGray"/>
                <w:lang w:val="en-GB"/>
              </w:rPr>
            </w:pPr>
          </w:p>
        </w:tc>
        <w:tc>
          <w:tcPr>
            <w:tcW w:w="6626" w:type="dxa"/>
            <w:gridSpan w:val="3"/>
          </w:tcPr>
          <w:p w14:paraId="286F829F" w14:textId="77777777" w:rsidR="00D81B66" w:rsidRPr="00E63C2B" w:rsidRDefault="00D81B66" w:rsidP="006D7A35">
            <w:pPr>
              <w:pStyle w:val="Textindependent"/>
              <w:keepNext/>
              <w:keepLines/>
              <w:spacing w:before="0" w:after="0"/>
              <w:ind w:left="425" w:hanging="567"/>
              <w:jc w:val="both"/>
              <w:rPr>
                <w:rFonts w:ascii="Times New Roman" w:hAnsi="Times New Roman"/>
                <w:sz w:val="22"/>
                <w:szCs w:val="22"/>
                <w:lang w:val="en-GB"/>
              </w:rPr>
            </w:pPr>
          </w:p>
        </w:tc>
      </w:tr>
    </w:tbl>
    <w:p w14:paraId="764075FA" w14:textId="2634D66B" w:rsidR="004042E5" w:rsidRPr="00E63C2B" w:rsidRDefault="001C1C17" w:rsidP="00F039D9">
      <w:pPr>
        <w:pStyle w:val="Capalera"/>
        <w:rPr>
          <w:b/>
          <w:bCs/>
          <w:sz w:val="22"/>
          <w:szCs w:val="22"/>
        </w:rPr>
      </w:pPr>
      <w:r>
        <w:rPr>
          <w:b/>
          <w:bCs/>
          <w:sz w:val="22"/>
          <w:szCs w:val="22"/>
        </w:rPr>
        <w:t xml:space="preserve"> </w:t>
      </w:r>
    </w:p>
    <w:sectPr w:rsidR="004042E5" w:rsidRPr="00E63C2B" w:rsidSect="00237FB9">
      <w:footerReference w:type="default" r:id="rId12"/>
      <w:headerReference w:type="first" r:id="rId13"/>
      <w:footerReference w:type="first" r:id="rId14"/>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39DBD" w14:textId="77777777" w:rsidR="009C2810" w:rsidRPr="00E63C2B" w:rsidRDefault="009C2810">
      <w:r w:rsidRPr="00E63C2B">
        <w:separator/>
      </w:r>
    </w:p>
  </w:endnote>
  <w:endnote w:type="continuationSeparator" w:id="0">
    <w:p w14:paraId="706DF25F" w14:textId="77777777" w:rsidR="009C2810" w:rsidRPr="00E63C2B" w:rsidRDefault="009C2810">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79C21" w14:textId="30587A25" w:rsidR="009C2810" w:rsidRDefault="009C2810" w:rsidP="000C5B51">
    <w:pPr>
      <w:pStyle w:val="Peu"/>
      <w:tabs>
        <w:tab w:val="clear" w:pos="4320"/>
        <w:tab w:val="clear" w:pos="8640"/>
        <w:tab w:val="right" w:pos="9639"/>
      </w:tabs>
      <w:rPr>
        <w:b/>
        <w:snapToGrid w:val="0"/>
        <w:sz w:val="18"/>
        <w:szCs w:val="18"/>
      </w:rPr>
    </w:pPr>
    <w:r w:rsidRPr="0082710B">
      <w:rPr>
        <w:b/>
        <w:snapToGrid w:val="0"/>
        <w:sz w:val="18"/>
        <w:szCs w:val="18"/>
      </w:rPr>
      <w:t>202</w:t>
    </w:r>
    <w:r w:rsidR="00EC53CC">
      <w:rPr>
        <w:b/>
        <w:snapToGrid w:val="0"/>
        <w:sz w:val="18"/>
        <w:szCs w:val="18"/>
      </w:rPr>
      <w:t>4</w:t>
    </w:r>
  </w:p>
  <w:p w14:paraId="56BD981F" w14:textId="37DC8240" w:rsidR="009C2810" w:rsidRPr="00E63C2B" w:rsidRDefault="009C2810" w:rsidP="000C5B51">
    <w:pPr>
      <w:pStyle w:val="Peu"/>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BE4933">
      <w:rPr>
        <w:noProof/>
        <w:snapToGrid w:val="0"/>
        <w:sz w:val="18"/>
        <w:szCs w:val="18"/>
        <w:lang w:eastAsia="en-US"/>
      </w:rPr>
      <w:t>EV5_evaluation report services</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00456" w14:textId="20483554" w:rsidR="009C2810" w:rsidRDefault="009C2810" w:rsidP="000C5B51">
    <w:pPr>
      <w:pStyle w:val="Peu"/>
      <w:tabs>
        <w:tab w:val="clear" w:pos="4320"/>
        <w:tab w:val="clear" w:pos="8640"/>
        <w:tab w:val="right" w:pos="9639"/>
      </w:tabs>
      <w:ind w:right="5"/>
      <w:rPr>
        <w:b/>
        <w:snapToGrid w:val="0"/>
        <w:sz w:val="18"/>
        <w:szCs w:val="18"/>
      </w:rPr>
    </w:pPr>
    <w:r w:rsidRPr="0082710B">
      <w:rPr>
        <w:b/>
        <w:snapToGrid w:val="0"/>
        <w:sz w:val="18"/>
        <w:szCs w:val="18"/>
      </w:rPr>
      <w:t>202</w:t>
    </w:r>
    <w:r w:rsidR="0000293F">
      <w:rPr>
        <w:b/>
        <w:snapToGrid w:val="0"/>
        <w:sz w:val="18"/>
        <w:szCs w:val="18"/>
      </w:rPr>
      <w:t>4</w:t>
    </w:r>
  </w:p>
  <w:p w14:paraId="23030FF7" w14:textId="65F76E2B" w:rsidR="009C2810" w:rsidRPr="00E63C2B" w:rsidRDefault="009C2810" w:rsidP="000C5B51">
    <w:pPr>
      <w:pStyle w:val="Peu"/>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sidR="00BE4933">
      <w:rPr>
        <w:noProof/>
        <w:snapToGrid w:val="0"/>
        <w:sz w:val="18"/>
        <w:szCs w:val="18"/>
        <w:lang w:eastAsia="en-US"/>
      </w:rPr>
      <w:t>EV5_evaluation report services</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C5F63" w14:textId="77777777" w:rsidR="009C2810" w:rsidRPr="00E63C2B" w:rsidRDefault="009C2810">
      <w:r w:rsidRPr="00E63C2B">
        <w:separator/>
      </w:r>
    </w:p>
  </w:footnote>
  <w:footnote w:type="continuationSeparator" w:id="0">
    <w:p w14:paraId="6E06FABF" w14:textId="77777777" w:rsidR="009C2810" w:rsidRPr="00E63C2B" w:rsidRDefault="009C2810">
      <w:r w:rsidRPr="00E63C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D2CF3" w14:textId="77777777" w:rsidR="009C2810" w:rsidRPr="00E63C2B" w:rsidRDefault="009C2810">
    <w:pPr>
      <w:pStyle w:val="Capalera"/>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Capalera"/>
      <w:jc w:val="center"/>
      <w:rPr>
        <w:rFonts w:ascii="Arial" w:hAnsi="Arial"/>
        <w:b/>
        <w:caps/>
        <w:sz w:val="28"/>
      </w:rPr>
    </w:pPr>
  </w:p>
  <w:p w14:paraId="201CA739" w14:textId="666BD887" w:rsidR="009C2810" w:rsidRPr="00E63C2B" w:rsidRDefault="009C2810">
    <w:pPr>
      <w:pStyle w:val="Capalera"/>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245921581">
    <w:abstractNumId w:val="9"/>
  </w:num>
  <w:num w:numId="2" w16cid:durableId="373769656">
    <w:abstractNumId w:val="12"/>
  </w:num>
  <w:num w:numId="3" w16cid:durableId="1747993792">
    <w:abstractNumId w:val="16"/>
  </w:num>
  <w:num w:numId="4" w16cid:durableId="236866753">
    <w:abstractNumId w:val="22"/>
  </w:num>
  <w:num w:numId="5" w16cid:durableId="2144343833">
    <w:abstractNumId w:val="21"/>
  </w:num>
  <w:num w:numId="6" w16cid:durableId="499152510">
    <w:abstractNumId w:val="8"/>
  </w:num>
  <w:num w:numId="7" w16cid:durableId="1088845873">
    <w:abstractNumId w:val="1"/>
  </w:num>
  <w:num w:numId="8" w16cid:durableId="2035498132">
    <w:abstractNumId w:val="24"/>
  </w:num>
  <w:num w:numId="9" w16cid:durableId="1074930823">
    <w:abstractNumId w:val="6"/>
  </w:num>
  <w:num w:numId="10" w16cid:durableId="469783465">
    <w:abstractNumId w:val="2"/>
  </w:num>
  <w:num w:numId="11" w16cid:durableId="1556087212">
    <w:abstractNumId w:val="23"/>
  </w:num>
  <w:num w:numId="12" w16cid:durableId="1497568807">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2026051749">
    <w:abstractNumId w:val="3"/>
  </w:num>
  <w:num w:numId="14" w16cid:durableId="321739022">
    <w:abstractNumId w:val="3"/>
    <w:lvlOverride w:ilvl="0">
      <w:lvl w:ilvl="0">
        <w:start w:val="1"/>
        <w:numFmt w:val="decimal"/>
        <w:lvlText w:val="%1."/>
        <w:legacy w:legacy="1" w:legacySpace="0" w:legacyIndent="567"/>
        <w:lvlJc w:val="left"/>
        <w:pPr>
          <w:ind w:left="2268" w:hanging="567"/>
        </w:pPr>
      </w:lvl>
    </w:lvlOverride>
  </w:num>
  <w:num w:numId="15" w16cid:durableId="1423987001">
    <w:abstractNumId w:val="18"/>
  </w:num>
  <w:num w:numId="16" w16cid:durableId="1304626773">
    <w:abstractNumId w:val="18"/>
    <w:lvlOverride w:ilvl="0">
      <w:lvl w:ilvl="0">
        <w:start w:val="1"/>
        <w:numFmt w:val="decimal"/>
        <w:lvlText w:val="%1."/>
        <w:legacy w:legacy="1" w:legacySpace="0" w:legacyIndent="360"/>
        <w:lvlJc w:val="left"/>
        <w:pPr>
          <w:ind w:left="2061" w:hanging="360"/>
        </w:pPr>
      </w:lvl>
    </w:lvlOverride>
  </w:num>
  <w:num w:numId="17" w16cid:durableId="2078280892">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1546018861">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1588808207">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1389184613">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90302422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1658655751">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337725957">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651369648">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64589000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61356383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867836907">
    <w:abstractNumId w:val="15"/>
  </w:num>
  <w:num w:numId="28" w16cid:durableId="1995065307">
    <w:abstractNumId w:val="19"/>
  </w:num>
  <w:num w:numId="29" w16cid:durableId="1730494433">
    <w:abstractNumId w:val="5"/>
  </w:num>
  <w:num w:numId="30" w16cid:durableId="2141267062">
    <w:abstractNumId w:val="20"/>
  </w:num>
  <w:num w:numId="31" w16cid:durableId="1199853662">
    <w:abstractNumId w:val="10"/>
  </w:num>
  <w:num w:numId="32" w16cid:durableId="2129009513">
    <w:abstractNumId w:val="17"/>
  </w:num>
  <w:num w:numId="33" w16cid:durableId="1663969404">
    <w:abstractNumId w:val="14"/>
  </w:num>
  <w:num w:numId="34" w16cid:durableId="910770122">
    <w:abstractNumId w:val="4"/>
  </w:num>
  <w:num w:numId="35" w16cid:durableId="466162242">
    <w:abstractNumId w:val="11"/>
  </w:num>
  <w:num w:numId="36" w16cid:durableId="1601912911">
    <w:abstractNumId w:val="7"/>
  </w:num>
  <w:num w:numId="37" w16cid:durableId="302274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8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0293F"/>
    <w:rsid w:val="00015128"/>
    <w:rsid w:val="0001677D"/>
    <w:rsid w:val="000173F0"/>
    <w:rsid w:val="0002510D"/>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B40D5"/>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3D07"/>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1EA7"/>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B064A"/>
    <w:rsid w:val="002C0C50"/>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D0D7C"/>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50607"/>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1B38"/>
    <w:rsid w:val="00506360"/>
    <w:rsid w:val="0051760E"/>
    <w:rsid w:val="00527FE4"/>
    <w:rsid w:val="00530BD2"/>
    <w:rsid w:val="0053197D"/>
    <w:rsid w:val="00534D74"/>
    <w:rsid w:val="00544946"/>
    <w:rsid w:val="00544D59"/>
    <w:rsid w:val="00547C6A"/>
    <w:rsid w:val="00553BD3"/>
    <w:rsid w:val="00594196"/>
    <w:rsid w:val="00594719"/>
    <w:rsid w:val="005949CD"/>
    <w:rsid w:val="00597BC7"/>
    <w:rsid w:val="005D0005"/>
    <w:rsid w:val="005E437F"/>
    <w:rsid w:val="005F2188"/>
    <w:rsid w:val="005F451E"/>
    <w:rsid w:val="005F4FD6"/>
    <w:rsid w:val="005F7290"/>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0157"/>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46A56"/>
    <w:rsid w:val="0095709A"/>
    <w:rsid w:val="00975DEC"/>
    <w:rsid w:val="00976521"/>
    <w:rsid w:val="00986BEB"/>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3DF8"/>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3F87"/>
    <w:rsid w:val="00B556A1"/>
    <w:rsid w:val="00B57483"/>
    <w:rsid w:val="00B7156C"/>
    <w:rsid w:val="00B81BF3"/>
    <w:rsid w:val="00B8511B"/>
    <w:rsid w:val="00B866B6"/>
    <w:rsid w:val="00B922ED"/>
    <w:rsid w:val="00B9530E"/>
    <w:rsid w:val="00BA594B"/>
    <w:rsid w:val="00BA65D5"/>
    <w:rsid w:val="00BA7958"/>
    <w:rsid w:val="00BC571C"/>
    <w:rsid w:val="00BD1468"/>
    <w:rsid w:val="00BD1E8F"/>
    <w:rsid w:val="00BD26EE"/>
    <w:rsid w:val="00BD2C57"/>
    <w:rsid w:val="00BD41ED"/>
    <w:rsid w:val="00BE3276"/>
    <w:rsid w:val="00BE4933"/>
    <w:rsid w:val="00BE663A"/>
    <w:rsid w:val="00BE765A"/>
    <w:rsid w:val="00BE776C"/>
    <w:rsid w:val="00C03930"/>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278B"/>
    <w:rsid w:val="00CB64F3"/>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3CC"/>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392"/>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Textdenotaapeudepgina">
    <w:name w:val="footnote text"/>
    <w:basedOn w:val="Normal"/>
    <w:semiHidden/>
    <w:rPr>
      <w:sz w:val="20"/>
    </w:rPr>
  </w:style>
  <w:style w:type="character" w:styleId="Refernciadenotaapeudepgina">
    <w:name w:val="footnote reference"/>
    <w:semiHidden/>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paragraph" w:customStyle="1" w:styleId="Annexetitle">
    <w:name w:val="Annexe_title"/>
    <w:basedOn w:val="Ttol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Textindependent">
    <w:name w:val="Body Text"/>
    <w:basedOn w:val="Normal"/>
    <w:rsid w:val="00C168ED"/>
    <w:pPr>
      <w:spacing w:before="120" w:after="120"/>
    </w:pPr>
    <w:rPr>
      <w:rFonts w:ascii="Arial" w:hAnsi="Arial"/>
      <w:snapToGrid w:val="0"/>
      <w:sz w:val="20"/>
      <w:lang w:val="sv-SE" w:eastAsia="en-US"/>
    </w:rPr>
  </w:style>
  <w:style w:type="paragraph" w:styleId="Textdeglobus">
    <w:name w:val="Balloon Text"/>
    <w:basedOn w:val="Normal"/>
    <w:semiHidden/>
    <w:rsid w:val="00A95E19"/>
    <w:rPr>
      <w:rFonts w:ascii="Tahoma" w:hAnsi="Tahoma" w:cs="Tahoma"/>
      <w:sz w:val="16"/>
      <w:szCs w:val="16"/>
    </w:rPr>
  </w:style>
  <w:style w:type="character" w:styleId="Refernciadecomentari">
    <w:name w:val="annotation reference"/>
    <w:rsid w:val="00B34D84"/>
    <w:rPr>
      <w:sz w:val="16"/>
      <w:szCs w:val="16"/>
    </w:rPr>
  </w:style>
  <w:style w:type="paragraph" w:styleId="Textdecomentari">
    <w:name w:val="annotation text"/>
    <w:basedOn w:val="Normal"/>
    <w:link w:val="TextdecomentariCar"/>
    <w:rsid w:val="00B34D84"/>
    <w:rPr>
      <w:sz w:val="20"/>
    </w:rPr>
  </w:style>
  <w:style w:type="character" w:customStyle="1" w:styleId="TextdecomentariCar">
    <w:name w:val="Text de comentari Car"/>
    <w:basedOn w:val="Lletraperdefectedelpargraf"/>
    <w:link w:val="Textdecomentari"/>
    <w:rsid w:val="00B34D84"/>
  </w:style>
  <w:style w:type="paragraph" w:styleId="Temadelcomentari">
    <w:name w:val="annotation subject"/>
    <w:basedOn w:val="Textdecomentari"/>
    <w:next w:val="Textdecomentari"/>
    <w:link w:val="TemadelcomentariCar"/>
    <w:rsid w:val="00B34D84"/>
    <w:rPr>
      <w:b/>
      <w:bCs/>
    </w:rPr>
  </w:style>
  <w:style w:type="character" w:customStyle="1" w:styleId="TemadelcomentariCar">
    <w:name w:val="Tema del comentari Car"/>
    <w:link w:val="Temadelcomentari"/>
    <w:rsid w:val="00B34D84"/>
    <w:rPr>
      <w:b/>
      <w:bCs/>
    </w:rPr>
  </w:style>
  <w:style w:type="paragraph" w:styleId="Revisi">
    <w:name w:val="Revision"/>
    <w:hidden/>
    <w:uiPriority w:val="99"/>
    <w:semiHidden/>
    <w:rsid w:val="00B34D84"/>
    <w:rPr>
      <w:sz w:val="24"/>
    </w:rPr>
  </w:style>
  <w:style w:type="character" w:customStyle="1" w:styleId="CapaleraCar">
    <w:name w:val="Capçalera Car"/>
    <w:link w:val="Capalera"/>
    <w:rsid w:val="004042E5"/>
    <w:rPr>
      <w:sz w:val="24"/>
    </w:rPr>
  </w:style>
  <w:style w:type="character" w:styleId="Enlla">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 w:type="character" w:styleId="Mencisenseresoldre">
    <w:name w:val="Unresolved Mention"/>
    <w:basedOn w:val="Lletraperdefectedelpargraf"/>
    <w:uiPriority w:val="99"/>
    <w:semiHidden/>
    <w:unhideWhenUsed/>
    <w:rsid w:val="005F7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357864-0F41-4CFD-A259-35A79280736D}">
  <ds:schemaRefs>
    <ds:schemaRef ds:uri="http://schemas.openxmlformats.org/officeDocument/2006/bibliography"/>
  </ds:schemaRefs>
</ds:datastoreItem>
</file>

<file path=customXml/itemProps2.xml><?xml version="1.0" encoding="utf-8"?>
<ds:datastoreItem xmlns:ds="http://schemas.openxmlformats.org/officeDocument/2006/customXml" ds:itemID="{67C77D5F-4E44-42D2-9A86-4D1409D5D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FAD4DD-3A57-474B-BA54-5BCD21213FBE}">
  <ds:schemaRefs>
    <ds:schemaRef ds:uri="http://schemas.microsoft.com/sharepoint/v3/contenttype/forms"/>
  </ds:schemaRefs>
</ds:datastoreItem>
</file>

<file path=customXml/itemProps4.xml><?xml version="1.0" encoding="utf-8"?>
<ds:datastoreItem xmlns:ds="http://schemas.openxmlformats.org/officeDocument/2006/customXml" ds:itemID="{4B6F7D4F-DB8E-40AA-A7C3-D086DD69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2271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15529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18</cp:revision>
  <cp:lastPrinted>2015-10-19T11:55:00Z</cp:lastPrinted>
  <dcterms:created xsi:type="dcterms:W3CDTF">2024-03-23T15:18:00Z</dcterms:created>
  <dcterms:modified xsi:type="dcterms:W3CDTF">2024-03-23T15:37:00Z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